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31761BB9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0D0D2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0D0D20" w:rsidRPr="000D0D20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F20995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  <w:r w:rsidRPr="00F20995">
        <w:rPr>
          <w:rFonts w:eastAsia="Times New Roman" w:cs="Times New Roman"/>
          <w:b/>
          <w:highlight w:val="yellow"/>
          <w:lang w:eastAsia="cs-CZ"/>
        </w:rPr>
        <w:t xml:space="preserve">Číslo smlouvy </w:t>
      </w:r>
      <w:r>
        <w:rPr>
          <w:rFonts w:eastAsia="Times New Roman" w:cs="Times New Roman"/>
          <w:b/>
          <w:highlight w:val="yellow"/>
          <w:lang w:eastAsia="cs-CZ"/>
        </w:rPr>
        <w:t>objednatele</w:t>
      </w:r>
      <w:r w:rsidRPr="00F20995">
        <w:rPr>
          <w:rFonts w:eastAsia="Times New Roman" w:cs="Times New Roman"/>
          <w:b/>
          <w:highlight w:val="yellow"/>
          <w:lang w:eastAsia="cs-CZ"/>
        </w:rPr>
        <w:t>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82B2557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3A44472F" w14:textId="217A5FA0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Pr="000D0D20">
        <w:rPr>
          <w:rFonts w:eastAsia="Times New Roman" w:cs="Times New Roman"/>
          <w:lang w:eastAsia="cs-CZ"/>
        </w:rPr>
        <w:t xml:space="preserve">zastoupená </w:t>
      </w:r>
      <w:r w:rsidR="0026469C" w:rsidRPr="000D0D20">
        <w:rPr>
          <w:rFonts w:eastAsia="Times New Roman" w:cs="Times New Roman"/>
          <w:b/>
          <w:lang w:eastAsia="cs-CZ"/>
        </w:rPr>
        <w:t>I</w:t>
      </w:r>
      <w:r w:rsidR="0026469C" w:rsidRPr="0026469C">
        <w:rPr>
          <w:rFonts w:eastAsia="Times New Roman" w:cs="Times New Roman"/>
          <w:b/>
          <w:lang w:eastAsia="cs-CZ"/>
        </w:rPr>
        <w:t>ng. Miroslavem Jasenčákem</w:t>
      </w:r>
      <w:r w:rsidR="0026469C">
        <w:rPr>
          <w:rFonts w:eastAsia="Times New Roman" w:cs="Times New Roman"/>
          <w:lang w:eastAsia="cs-CZ"/>
        </w:rPr>
        <w:t>, náměstkem GŘ pro řízení provozu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3845AD23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527421" w:rsidRPr="0026469C">
        <w:rPr>
          <w:rFonts w:eastAsia="Times New Roman" w:cs="Times New Roman"/>
          <w:b/>
          <w:lang w:eastAsia="cs-CZ"/>
        </w:rPr>
        <w:t>„</w:t>
      </w:r>
      <w:r w:rsidR="0026469C" w:rsidRPr="000E03C7">
        <w:rPr>
          <w:rFonts w:ascii="Verdana" w:eastAsia="Verdana" w:hAnsi="Verdana" w:cs="Verdana"/>
          <w:b/>
          <w:color w:val="000000"/>
        </w:rPr>
        <w:t>Posouzení možnosti zvýšení tažné síly v čele vlaku nad stávající limit 350 kN</w:t>
      </w:r>
      <w:r w:rsidRPr="0026469C">
        <w:rPr>
          <w:rFonts w:eastAsia="Times New Roman" w:cs="Times New Roman"/>
          <w:b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="000D278B" w:rsidRPr="0026469C">
        <w:rPr>
          <w:rFonts w:eastAsia="Times New Roman" w:cs="Times New Roman"/>
          <w:lang w:eastAsia="cs-CZ"/>
        </w:rPr>
        <w:t>č.j. veřejné zakázky</w:t>
      </w:r>
      <w:r w:rsidR="000D278B">
        <w:rPr>
          <w:rFonts w:eastAsia="Times New Roman" w:cs="Times New Roman"/>
          <w:lang w:eastAsia="cs-CZ"/>
        </w:rPr>
        <w:t xml:space="preserve"> </w:t>
      </w:r>
      <w:r w:rsidR="00524C5E">
        <w:t>180256</w:t>
      </w:r>
      <w:bookmarkStart w:id="0" w:name="_GoBack"/>
      <w:bookmarkEnd w:id="0"/>
      <w:r w:rsidR="0026469C" w:rsidRPr="002762F5">
        <w:t>/202</w:t>
      </w:r>
      <w:r w:rsidR="0026469C">
        <w:t>1</w:t>
      </w:r>
      <w:r w:rsidR="0026469C" w:rsidRPr="002762F5">
        <w:t>-SŽ-GŘ-O8</w:t>
      </w:r>
      <w:r w:rsidR="005740C3">
        <w:rPr>
          <w:rFonts w:eastAsia="Times New Roman" w:cs="Times New Roman"/>
          <w:lang w:eastAsia="cs-CZ"/>
        </w:rPr>
        <w:t xml:space="preserve"> </w:t>
      </w:r>
      <w:r w:rsidRPr="004E1498">
        <w:rPr>
          <w:rFonts w:eastAsia="Times New Roman" w:cs="Times New Roman"/>
          <w:lang w:eastAsia="cs-CZ"/>
        </w:rPr>
        <w:t>(dále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46F538D1" w:rsidR="004E1498" w:rsidRDefault="004E1498" w:rsidP="00592757">
      <w:pPr>
        <w:pStyle w:val="Nadpis2"/>
        <w:jc w:val="left"/>
      </w:pPr>
      <w:r w:rsidRPr="004E1498">
        <w:t xml:space="preserve">Předmětem díla je </w:t>
      </w:r>
    </w:p>
    <w:p w14:paraId="0C0843E1" w14:textId="77777777" w:rsidR="0026469C" w:rsidRPr="00C76EE8" w:rsidRDefault="0026469C" w:rsidP="0026469C">
      <w:pPr>
        <w:pStyle w:val="Odstavecseseznamem"/>
        <w:numPr>
          <w:ilvl w:val="0"/>
          <w:numId w:val="27"/>
        </w:numPr>
        <w:rPr>
          <w:rFonts w:cs="Arial"/>
        </w:rPr>
      </w:pPr>
      <w:r w:rsidRPr="00C76EE8">
        <w:rPr>
          <w:rFonts w:cs="Arial"/>
        </w:rPr>
        <w:t>Přehled řešení problematiky u manažerů infrastruktury v sousedních zemích, tj. přehled limitů tažných sil a podmínky jejich použití v závislosti na parametrech vozidel a trati</w:t>
      </w:r>
    </w:p>
    <w:p w14:paraId="3420B421" w14:textId="77777777" w:rsidR="0026469C" w:rsidRPr="00C76EE8" w:rsidRDefault="0026469C" w:rsidP="0026469C">
      <w:pPr>
        <w:pStyle w:val="Odstavecseseznamem"/>
        <w:numPr>
          <w:ilvl w:val="0"/>
          <w:numId w:val="27"/>
        </w:numPr>
        <w:rPr>
          <w:rFonts w:cs="Arial"/>
        </w:rPr>
      </w:pPr>
      <w:r w:rsidRPr="00C76EE8">
        <w:rPr>
          <w:rFonts w:cs="Arial"/>
        </w:rPr>
        <w:t>Simulace (výpočty) působení vozidel při vyšší tažné síle na trať a experimentální ověření vlivu vyšších tažných sil na trať</w:t>
      </w:r>
    </w:p>
    <w:p w14:paraId="7A14A0A8" w14:textId="77777777" w:rsidR="0026469C" w:rsidRDefault="0026469C" w:rsidP="0026469C">
      <w:pPr>
        <w:pStyle w:val="Odstavecseseznamem"/>
        <w:numPr>
          <w:ilvl w:val="0"/>
          <w:numId w:val="27"/>
        </w:numPr>
        <w:rPr>
          <w:rFonts w:cs="Arial"/>
        </w:rPr>
      </w:pPr>
      <w:r w:rsidRPr="00C76EE8">
        <w:rPr>
          <w:rFonts w:cs="Arial"/>
        </w:rPr>
        <w:t>Posouzení vlivu zvýšení tažných sil nad 350 kN na infrastrukturu</w:t>
      </w:r>
    </w:p>
    <w:p w14:paraId="48917A79" w14:textId="187FCE28" w:rsidR="0026469C" w:rsidRPr="0026469C" w:rsidRDefault="0026469C" w:rsidP="0026469C">
      <w:pPr>
        <w:pStyle w:val="Odstavecseseznamem"/>
        <w:numPr>
          <w:ilvl w:val="0"/>
          <w:numId w:val="27"/>
        </w:numPr>
        <w:rPr>
          <w:rFonts w:cs="Arial"/>
        </w:rPr>
      </w:pPr>
      <w:r w:rsidRPr="0026469C">
        <w:rPr>
          <w:rFonts w:cs="Arial"/>
        </w:rPr>
        <w:t>Stanovení nového limitu (-ů) tažné síly v čele vlaku vč. podmínek jeho (jejich) použití v provozu</w:t>
      </w:r>
    </w:p>
    <w:p w14:paraId="31192BEF" w14:textId="4E12D2A1" w:rsidR="007D6CC9" w:rsidRPr="000D0D20" w:rsidRDefault="007D6CC9" w:rsidP="007D6CC9">
      <w:pPr>
        <w:pStyle w:val="Nadpis2"/>
      </w:pPr>
      <w:r w:rsidRPr="000D0D20">
        <w:lastRenderedPageBreak/>
        <w:t xml:space="preserve">Výsledné dílo bude mít podobu </w:t>
      </w:r>
      <w:r w:rsidR="006F15F0" w:rsidRPr="000D0D20">
        <w:t>technické zprávy, která bude Objednateli předána jednak v tištěné podobě a to ve třech (3) výtiscích, jednak ve formě elektronic</w:t>
      </w:r>
      <w:r w:rsidR="00096CD7">
        <w:t>kého dokumentu ve formátu pdf</w:t>
      </w:r>
      <w:r w:rsidRPr="000D0D20">
        <w:t>. O předání bude vyhotoven předávací protokol.</w:t>
      </w:r>
    </w:p>
    <w:p w14:paraId="620E778C" w14:textId="0724FD61" w:rsidR="004E1498" w:rsidRPr="006F15F0" w:rsidRDefault="004E1498" w:rsidP="00275474">
      <w:pPr>
        <w:pStyle w:val="Nadpis2"/>
        <w:jc w:val="left"/>
      </w:pPr>
      <w:r w:rsidRPr="006F15F0">
        <w:t>Jakost ani provedení Předmětu díla není určeno vzorkem ani předlohou.</w:t>
      </w:r>
    </w:p>
    <w:p w14:paraId="600D21AE" w14:textId="6CA2DE43" w:rsidR="004E1498" w:rsidRPr="006F15F0" w:rsidRDefault="0029605F" w:rsidP="00592757">
      <w:pPr>
        <w:pStyle w:val="Nadpis1"/>
        <w:rPr>
          <w:rFonts w:eastAsia="Times New Roman"/>
          <w:lang w:eastAsia="cs-CZ"/>
        </w:rPr>
      </w:pPr>
      <w:r w:rsidRPr="006F15F0"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28C81697" w14:textId="51C6A451" w:rsidR="00810E9B" w:rsidRPr="000D0D20" w:rsidRDefault="00810E9B" w:rsidP="00275474">
      <w:pPr>
        <w:pStyle w:val="Nadpis2"/>
        <w:jc w:val="left"/>
      </w:pPr>
      <w:r w:rsidRPr="006F15F0">
        <w:t xml:space="preserve">Fakturace bude provedena </w:t>
      </w:r>
      <w:r w:rsidR="00CB53B1" w:rsidRPr="006F15F0">
        <w:t xml:space="preserve">na základě </w:t>
      </w:r>
      <w:r w:rsidR="00CB53B1" w:rsidRPr="000D0D20">
        <w:t xml:space="preserve">akceptačního protokolu podepsaného oběma </w:t>
      </w:r>
      <w:r w:rsidR="003B5DD6" w:rsidRPr="000D0D20">
        <w:t>Sml</w:t>
      </w:r>
      <w:r w:rsidR="00CB53B1" w:rsidRPr="000D0D20">
        <w:t>uvními stranami</w:t>
      </w:r>
      <w:r w:rsidR="006F15F0" w:rsidRPr="000D0D20">
        <w:t>.</w:t>
      </w:r>
      <w:r w:rsidR="005609FE">
        <w:t xml:space="preserve"> Splatnost daňového dokladu je 60 dnů po dni jeho doručení Objednateli.</w:t>
      </w:r>
    </w:p>
    <w:p w14:paraId="1AFBED5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Místo a doba plnění</w:t>
      </w:r>
    </w:p>
    <w:p w14:paraId="4DCCF507" w14:textId="77F89577" w:rsidR="004E1498" w:rsidRPr="0026469C" w:rsidRDefault="004E1498" w:rsidP="00592757">
      <w:pPr>
        <w:pStyle w:val="Nadpis2"/>
        <w:jc w:val="left"/>
      </w:pPr>
      <w:r w:rsidRPr="0026469C">
        <w:t>Místem plnění je</w:t>
      </w:r>
      <w:r w:rsidR="0026469C" w:rsidRPr="0026469C">
        <w:t xml:space="preserve"> sídlo </w:t>
      </w:r>
      <w:r w:rsidR="006F15F0">
        <w:t>Objednatele:</w:t>
      </w:r>
      <w:r w:rsidR="006F15F0" w:rsidRPr="0026469C">
        <w:t xml:space="preserve"> </w:t>
      </w:r>
      <w:r w:rsidR="0026469C" w:rsidRPr="0026469C">
        <w:t>Dlážděná 1003/7, 110 00 Praha 1</w:t>
      </w:r>
    </w:p>
    <w:p w14:paraId="624D8729" w14:textId="0E715305" w:rsidR="005740C3" w:rsidRPr="005740C3" w:rsidRDefault="004E1498" w:rsidP="005740C3">
      <w:pPr>
        <w:pStyle w:val="Nadpis2"/>
        <w:jc w:val="left"/>
      </w:pPr>
      <w:r w:rsidRPr="004E1498">
        <w:t>Z</w:t>
      </w:r>
      <w:r w:rsidR="005740C3">
        <w:t xml:space="preserve">hotovitel je povinen provést a předat </w:t>
      </w:r>
      <w:r w:rsidRPr="004E1498">
        <w:t xml:space="preserve">Dílo nejpozději do </w:t>
      </w:r>
      <w:r w:rsidR="0026469C">
        <w:t>12 měsíců od účinnosti Smlouvy.</w:t>
      </w:r>
      <w:r w:rsidR="00727588">
        <w:t xml:space="preserve"> </w:t>
      </w:r>
      <w:r w:rsidR="00BD23A7">
        <w:t xml:space="preserve"> 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71F309CE" w:rsidR="004E1498" w:rsidRPr="006C7697" w:rsidRDefault="004E1498" w:rsidP="006C7697">
      <w:pPr>
        <w:pStyle w:val="Nadpis2"/>
        <w:jc w:val="left"/>
      </w:pPr>
      <w:r w:rsidRPr="004E1498">
        <w:t xml:space="preserve">Záruční doba činí </w:t>
      </w:r>
      <w:r w:rsidR="00816B59" w:rsidRPr="000D0D20">
        <w:t>24 měsíců</w:t>
      </w:r>
      <w:r w:rsidRPr="006F15F0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6946143B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Pr="009B4030">
        <w:rPr>
          <w:highlight w:val="green"/>
        </w:rPr>
        <w:t>č…</w:t>
      </w:r>
      <w:r w:rsidR="006566F7" w:rsidRPr="009B4030">
        <w:rPr>
          <w:highlight w:val="green"/>
        </w:rPr>
        <w:t>.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4E1498" w:rsidRDefault="004E1498" w:rsidP="00592757">
      <w:pPr>
        <w:pStyle w:val="Nadpis2"/>
        <w:jc w:val="left"/>
        <w:rPr>
          <w:highlight w:val="yellow"/>
        </w:rPr>
      </w:pPr>
      <w:r w:rsidRPr="004E1498">
        <w:rPr>
          <w:highlight w:val="yellow"/>
        </w:rPr>
        <w:t>Kontaktními osobami smluvních stran jsou</w:t>
      </w:r>
    </w:p>
    <w:p w14:paraId="4E7FEA6D" w14:textId="776D44A0" w:rsidR="004E1498" w:rsidRPr="004E1498" w:rsidRDefault="004E1498" w:rsidP="00592757">
      <w:pPr>
        <w:pStyle w:val="Nadpis3"/>
        <w:jc w:val="left"/>
        <w:rPr>
          <w:highlight w:val="yellow"/>
        </w:rPr>
      </w:pPr>
      <w:r w:rsidRPr="004E1498">
        <w:rPr>
          <w:highlight w:val="yellow"/>
        </w:rPr>
        <w:t xml:space="preserve">za </w:t>
      </w:r>
      <w:r w:rsidRPr="00950C1F">
        <w:rPr>
          <w:highlight w:val="yellow"/>
        </w:rPr>
        <w:t>Objednatele</w:t>
      </w:r>
      <w:r w:rsidRPr="004E1498">
        <w:rPr>
          <w:highlight w:val="yellow"/>
        </w:rPr>
        <w:t xml:space="preserve"> p. ………………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tel. ……………</w:t>
      </w:r>
      <w:r w:rsidR="0086114C" w:rsidRPr="004E1498">
        <w:rPr>
          <w:highlight w:val="yellow"/>
        </w:rPr>
        <w:t>……,</w:t>
      </w:r>
      <w:r w:rsidRPr="004E1498">
        <w:rPr>
          <w:highlight w:val="yellow"/>
        </w:rPr>
        <w:t xml:space="preserve"> email ………………</w:t>
      </w:r>
      <w:r w:rsidR="0086114C" w:rsidRPr="004E1498">
        <w:rPr>
          <w:highlight w:val="yellow"/>
        </w:rPr>
        <w:t>……,</w:t>
      </w:r>
    </w:p>
    <w:p w14:paraId="1C513CD4" w14:textId="4CC511DB" w:rsidR="004E1498" w:rsidRPr="009B4030" w:rsidRDefault="004E1498" w:rsidP="00592757">
      <w:pPr>
        <w:pStyle w:val="Nadpis3"/>
        <w:jc w:val="left"/>
        <w:rPr>
          <w:highlight w:val="green"/>
        </w:rPr>
      </w:pPr>
      <w:r w:rsidRPr="009B4030">
        <w:rPr>
          <w:highlight w:val="green"/>
        </w:rPr>
        <w:t>za Zhotovitele p. ………………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tel. ……………</w:t>
      </w:r>
      <w:r w:rsidR="0086114C" w:rsidRPr="009B4030">
        <w:rPr>
          <w:highlight w:val="green"/>
        </w:rPr>
        <w:t>……,</w:t>
      </w:r>
      <w:r w:rsidRPr="009B4030">
        <w:rPr>
          <w:highlight w:val="green"/>
        </w:rPr>
        <w:t xml:space="preserve"> email ………………</w:t>
      </w:r>
      <w:r w:rsidR="0086114C" w:rsidRPr="009B4030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lastRenderedPageBreak/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>Zvláštní podmínky, na které odkazuje Smlouva o dílo, mají přednost před zněním Obchodních podmínek, Obchodní podmínky se užijí v rozsahu, v jakém nejsou v rozporu s takovými zvláštními podmínkami.</w:t>
      </w:r>
    </w:p>
    <w:p w14:paraId="4C1A93EA" w14:textId="7B569B8B" w:rsidR="004E1498" w:rsidRPr="00CD3425" w:rsidRDefault="004E1498" w:rsidP="009C30C5">
      <w:pPr>
        <w:pStyle w:val="Nadpis2"/>
        <w:ind w:left="567" w:hanging="567"/>
        <w:jc w:val="left"/>
      </w:pPr>
      <w:r w:rsidRPr="00CD3425">
        <w:rPr>
          <w:rFonts w:eastAsia="Calibri"/>
        </w:rPr>
        <w:t xml:space="preserve">Tato </w:t>
      </w:r>
      <w:r w:rsidR="00D9782E" w:rsidRPr="00CD3425">
        <w:rPr>
          <w:rFonts w:eastAsia="Calibri"/>
        </w:rPr>
        <w:t>Sml</w:t>
      </w:r>
      <w:r w:rsidRPr="00CD3425">
        <w:rPr>
          <w:rFonts w:eastAsia="Calibri"/>
        </w:rPr>
        <w:t xml:space="preserve">ouva nabývá platnosti okamžikem podpisu poslední ze </w:t>
      </w:r>
      <w:r w:rsidR="00D9782E" w:rsidRPr="00CD3425">
        <w:rPr>
          <w:rFonts w:eastAsia="Calibri"/>
        </w:rPr>
        <w:t>Sml</w:t>
      </w:r>
      <w:r w:rsidRPr="00CD3425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214D5B2C" w14:textId="2550008F" w:rsidR="00CD3425" w:rsidRPr="00CD3425" w:rsidRDefault="00CD3425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CD3425">
        <w:rPr>
          <w:rFonts w:eastAsia="Times New Roman" w:cs="Times New Roman"/>
          <w:lang w:eastAsia="cs-CZ"/>
        </w:rPr>
        <w:t>Obchodní podmínky</w:t>
      </w:r>
      <w:r>
        <w:rPr>
          <w:rFonts w:eastAsia="Times New Roman" w:cs="Times New Roman"/>
          <w:lang w:eastAsia="cs-CZ"/>
        </w:rPr>
        <w:t xml:space="preserve"> ke Smlouvě o dílo</w:t>
      </w:r>
    </w:p>
    <w:p w14:paraId="077D172E" w14:textId="3B94A5E1" w:rsidR="006E6E61" w:rsidRPr="009B4030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S</w:t>
      </w:r>
      <w:r w:rsidR="006E6E61" w:rsidRPr="009B4030">
        <w:rPr>
          <w:rFonts w:eastAsia="Times New Roman" w:cs="Times New Roman"/>
          <w:highlight w:val="green"/>
          <w:lang w:eastAsia="cs-CZ"/>
        </w:rPr>
        <w:t>eznam poddodavatelů</w:t>
      </w:r>
      <w:r w:rsidRPr="009B4030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64EEE3E6" w14:textId="05C07376" w:rsidR="006E6E61" w:rsidRPr="009B4030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P</w:t>
      </w:r>
      <w:r w:rsidR="00B27209" w:rsidRPr="009B4030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4761E1C5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…………………………………………………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111F1717" w14:textId="7CEE8A66" w:rsidR="00613238" w:rsidRDefault="00CD3425" w:rsidP="00613238">
      <w:pPr>
        <w:spacing w:after="0" w:line="276" w:lineRule="auto"/>
        <w:rPr>
          <w:rFonts w:asciiTheme="majorHAnsi" w:hAnsiTheme="majorHAnsi"/>
        </w:rPr>
      </w:pPr>
      <w:r w:rsidRPr="00CD3425">
        <w:rPr>
          <w:b/>
          <w:noProof/>
        </w:rPr>
        <w:t>Ing. Miroslav Jasenčák</w:t>
      </w:r>
      <w:r w:rsidRPr="00CD3425">
        <w:rPr>
          <w:b/>
          <w:noProof/>
        </w:rPr>
        <w:tab/>
      </w:r>
      <w:r w:rsidR="00613238" w:rsidRPr="00CD3425">
        <w:rPr>
          <w:rFonts w:asciiTheme="majorHAnsi" w:hAnsiTheme="majorHAnsi"/>
        </w:rPr>
        <w:t xml:space="preserve"> </w:t>
      </w:r>
      <w:r w:rsidR="00613238" w:rsidRPr="009B4030">
        <w:rPr>
          <w:rFonts w:asciiTheme="majorHAnsi" w:hAnsiTheme="majorHAnsi"/>
        </w:rPr>
        <w:tab/>
        <w:t xml:space="preserve">  </w:t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</w:rPr>
        <w:tab/>
      </w:r>
      <w:r w:rsidR="00613238" w:rsidRPr="009B4030">
        <w:rPr>
          <w:rFonts w:asciiTheme="majorHAnsi" w:hAnsiTheme="majorHAnsi"/>
          <w:noProof/>
          <w:highlight w:val="green"/>
        </w:rPr>
        <w:t>[</w:t>
      </w:r>
      <w:r w:rsidR="00613238" w:rsidRPr="009B4030">
        <w:rPr>
          <w:rFonts w:asciiTheme="majorHAnsi" w:hAnsiTheme="majorHAnsi"/>
          <w:i/>
          <w:iCs/>
          <w:noProof/>
          <w:highlight w:val="green"/>
        </w:rPr>
        <w:t>DOPLNÍ ZHOTOVITEL</w:t>
      </w:r>
      <w:r w:rsidR="00613238" w:rsidRPr="009B4030">
        <w:rPr>
          <w:rFonts w:asciiTheme="majorHAnsi" w:hAnsiTheme="majorHAnsi"/>
          <w:noProof/>
          <w:highlight w:val="green"/>
        </w:rPr>
        <w:t>]</w:t>
      </w:r>
    </w:p>
    <w:p w14:paraId="5E8BA70D" w14:textId="6E6DED6F" w:rsidR="00D9782E" w:rsidRDefault="00CD3425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>
        <w:rPr>
          <w:rFonts w:eastAsia="Calibri" w:cs="Times New Roman"/>
        </w:rPr>
        <w:t>náměstek GŘ pro řízení provozu</w:t>
      </w:r>
    </w:p>
    <w:sectPr w:rsidR="00D9782E" w:rsidSect="00AF561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941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7EBDE0" w14:textId="77777777" w:rsidR="00DA3BDC" w:rsidRDefault="00DA3BDC" w:rsidP="00962258">
      <w:pPr>
        <w:spacing w:after="0" w:line="240" w:lineRule="auto"/>
      </w:pPr>
      <w:r>
        <w:separator/>
      </w:r>
    </w:p>
  </w:endnote>
  <w:endnote w:type="continuationSeparator" w:id="0">
    <w:p w14:paraId="3D1B2E68" w14:textId="77777777" w:rsidR="00DA3BDC" w:rsidRDefault="00DA3BD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0A2B0A0F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4C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4C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839600A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FCA8EC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40A1F3F4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4C5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4C5E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0BD0D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E8D1FD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43151F" w14:textId="77777777" w:rsidR="00DA3BDC" w:rsidRDefault="00DA3BDC" w:rsidP="00962258">
      <w:pPr>
        <w:spacing w:after="0" w:line="240" w:lineRule="auto"/>
      </w:pPr>
      <w:r>
        <w:separator/>
      </w:r>
    </w:p>
  </w:footnote>
  <w:footnote w:type="continuationSeparator" w:id="0">
    <w:p w14:paraId="30E2F49B" w14:textId="77777777" w:rsidR="00DA3BDC" w:rsidRDefault="00DA3BD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95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44"/>
      <w:gridCol w:w="4979"/>
      <w:gridCol w:w="5628"/>
    </w:tblGrid>
    <w:tr w:rsidR="00F1715C" w14:paraId="14D6ED70" w14:textId="77777777" w:rsidTr="00AF5617">
      <w:trPr>
        <w:trHeight w:hRule="exact" w:val="1274"/>
      </w:trPr>
      <w:tc>
        <w:tcPr>
          <w:tcW w:w="1344" w:type="dxa"/>
          <w:tcMar>
            <w:top w:w="57" w:type="dxa"/>
            <w:left w:w="0" w:type="dxa"/>
            <w:right w:w="0" w:type="dxa"/>
          </w:tcMar>
        </w:tcPr>
        <w:p w14:paraId="7A201DE8" w14:textId="1D6669BF" w:rsidR="00F1715C" w:rsidRPr="00B8518B" w:rsidRDefault="00AF5617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  </w:t>
          </w:r>
        </w:p>
      </w:tc>
      <w:tc>
        <w:tcPr>
          <w:tcW w:w="4979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35C07CC" w:rsidR="00F1715C" w:rsidRDefault="00AF5617" w:rsidP="00AF5617">
          <w:pPr>
            <w:pStyle w:val="Zpat"/>
            <w:tabs>
              <w:tab w:val="clear" w:pos="4536"/>
              <w:tab w:val="center" w:pos="4986"/>
            </w:tabs>
          </w:pPr>
          <w:r>
            <w:t xml:space="preserve">     </w:t>
          </w:r>
          <w:r>
            <w:rPr>
              <w:noProof/>
              <w:lang w:eastAsia="cs-CZ"/>
            </w:rPr>
            <w:t xml:space="preserve">                                                             </w:t>
          </w:r>
          <w:r>
            <w:rPr>
              <w:noProof/>
              <w:lang w:eastAsia="cs-CZ"/>
            </w:rPr>
            <w:drawing>
              <wp:inline distT="0" distB="0" distL="0" distR="0" wp14:anchorId="13064DFE" wp14:editId="73EAB6C1">
                <wp:extent cx="1280160" cy="718820"/>
                <wp:effectExtent l="0" t="0" r="0" b="5080"/>
                <wp:docPr id="40" name="Obrázek 40" descr="C:\Users\SirokaA\Desktop\SFDI logo\malé\JPG\logo-barva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3" name="Obrázek 43" descr="C:\Users\SirokaA\Desktop\SFDI logo\malé\JPG\logo-barv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0160" cy="753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2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41" name="Obrázek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882663B"/>
    <w:multiLevelType w:val="hybridMultilevel"/>
    <w:tmpl w:val="34065042"/>
    <w:lvl w:ilvl="0" w:tplc="C44049BC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4070991"/>
    <w:multiLevelType w:val="multilevel"/>
    <w:tmpl w:val="CABE99FC"/>
    <w:numStyleLink w:val="ListNumbermultilevel"/>
  </w:abstractNum>
  <w:abstractNum w:abstractNumId="20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9"/>
  </w:num>
  <w:num w:numId="5">
    <w:abstractNumId w:val="8"/>
  </w:num>
  <w:num w:numId="6">
    <w:abstractNumId w:val="0"/>
  </w:num>
  <w:num w:numId="7">
    <w:abstractNumId w:val="10"/>
  </w:num>
  <w:num w:numId="8">
    <w:abstractNumId w:val="20"/>
  </w:num>
  <w:num w:numId="9">
    <w:abstractNumId w:val="11"/>
  </w:num>
  <w:num w:numId="10">
    <w:abstractNumId w:val="6"/>
  </w:num>
  <w:num w:numId="11">
    <w:abstractNumId w:val="2"/>
  </w:num>
  <w:num w:numId="12">
    <w:abstractNumId w:val="16"/>
  </w:num>
  <w:num w:numId="13">
    <w:abstractNumId w:val="18"/>
  </w:num>
  <w:num w:numId="14">
    <w:abstractNumId w:val="4"/>
  </w:num>
  <w:num w:numId="15">
    <w:abstractNumId w:val="21"/>
  </w:num>
  <w:num w:numId="16">
    <w:abstractNumId w:val="12"/>
  </w:num>
  <w:num w:numId="17">
    <w:abstractNumId w:val="7"/>
  </w:num>
  <w:num w:numId="18">
    <w:abstractNumId w:val="9"/>
  </w:num>
  <w:num w:numId="19">
    <w:abstractNumId w:val="15"/>
  </w:num>
  <w:num w:numId="20">
    <w:abstractNumId w:val="14"/>
  </w:num>
  <w:num w:numId="21">
    <w:abstractNumId w:val="7"/>
  </w:num>
  <w:num w:numId="22">
    <w:abstractNumId w:val="17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 w:numId="27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96CD7"/>
    <w:rsid w:val="000A13BC"/>
    <w:rsid w:val="000A3F85"/>
    <w:rsid w:val="000B324A"/>
    <w:rsid w:val="000D0D20"/>
    <w:rsid w:val="000D278B"/>
    <w:rsid w:val="000E23A7"/>
    <w:rsid w:val="000F3F61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5A3"/>
    <w:rsid w:val="00184743"/>
    <w:rsid w:val="00193A76"/>
    <w:rsid w:val="001A6752"/>
    <w:rsid w:val="001C0FC2"/>
    <w:rsid w:val="001C298C"/>
    <w:rsid w:val="001D3AFC"/>
    <w:rsid w:val="001D68A6"/>
    <w:rsid w:val="00207DF5"/>
    <w:rsid w:val="00216193"/>
    <w:rsid w:val="002313EA"/>
    <w:rsid w:val="0025341D"/>
    <w:rsid w:val="0026469C"/>
    <w:rsid w:val="00275474"/>
    <w:rsid w:val="00280E07"/>
    <w:rsid w:val="0029605F"/>
    <w:rsid w:val="002C31BF"/>
    <w:rsid w:val="002D08B1"/>
    <w:rsid w:val="002D6523"/>
    <w:rsid w:val="002E0CD7"/>
    <w:rsid w:val="002E6086"/>
    <w:rsid w:val="003013FA"/>
    <w:rsid w:val="003071BD"/>
    <w:rsid w:val="00341DCF"/>
    <w:rsid w:val="003556D2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0C9D"/>
    <w:rsid w:val="003F20D8"/>
    <w:rsid w:val="00401303"/>
    <w:rsid w:val="0042314E"/>
    <w:rsid w:val="00431925"/>
    <w:rsid w:val="00441430"/>
    <w:rsid w:val="004429CF"/>
    <w:rsid w:val="00450F07"/>
    <w:rsid w:val="00453CD3"/>
    <w:rsid w:val="00457620"/>
    <w:rsid w:val="00460660"/>
    <w:rsid w:val="00461D32"/>
    <w:rsid w:val="0047161E"/>
    <w:rsid w:val="0047677B"/>
    <w:rsid w:val="00486107"/>
    <w:rsid w:val="00491827"/>
    <w:rsid w:val="00493B1B"/>
    <w:rsid w:val="004A1DA5"/>
    <w:rsid w:val="004A59D2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4C5E"/>
    <w:rsid w:val="00527421"/>
    <w:rsid w:val="00537B7A"/>
    <w:rsid w:val="00537B95"/>
    <w:rsid w:val="00553375"/>
    <w:rsid w:val="005609FE"/>
    <w:rsid w:val="005736B7"/>
    <w:rsid w:val="005740C3"/>
    <w:rsid w:val="00575E5A"/>
    <w:rsid w:val="00592757"/>
    <w:rsid w:val="00597E84"/>
    <w:rsid w:val="005B06CC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6F15F0"/>
    <w:rsid w:val="007061F8"/>
    <w:rsid w:val="00710723"/>
    <w:rsid w:val="00723ED1"/>
    <w:rsid w:val="00727588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D6CC9"/>
    <w:rsid w:val="007E15FA"/>
    <w:rsid w:val="007E4A6E"/>
    <w:rsid w:val="007F56A7"/>
    <w:rsid w:val="00807DD0"/>
    <w:rsid w:val="00810E9B"/>
    <w:rsid w:val="00816B59"/>
    <w:rsid w:val="008328D1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00B3"/>
    <w:rsid w:val="00904780"/>
    <w:rsid w:val="00922385"/>
    <w:rsid w:val="009223DF"/>
    <w:rsid w:val="00936091"/>
    <w:rsid w:val="00940693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1D25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04A1"/>
    <w:rsid w:val="00A157FE"/>
    <w:rsid w:val="00A320BE"/>
    <w:rsid w:val="00A605AE"/>
    <w:rsid w:val="00A6177B"/>
    <w:rsid w:val="00A66136"/>
    <w:rsid w:val="00A76699"/>
    <w:rsid w:val="00AA4CBB"/>
    <w:rsid w:val="00AA65FA"/>
    <w:rsid w:val="00AA7351"/>
    <w:rsid w:val="00AB6759"/>
    <w:rsid w:val="00AD056F"/>
    <w:rsid w:val="00AD6731"/>
    <w:rsid w:val="00AD7371"/>
    <w:rsid w:val="00AF11FA"/>
    <w:rsid w:val="00AF5617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23A7"/>
    <w:rsid w:val="00BD7E91"/>
    <w:rsid w:val="00BF2DD6"/>
    <w:rsid w:val="00C02D0A"/>
    <w:rsid w:val="00C03A6E"/>
    <w:rsid w:val="00C22949"/>
    <w:rsid w:val="00C35AE5"/>
    <w:rsid w:val="00C40E79"/>
    <w:rsid w:val="00C42A1F"/>
    <w:rsid w:val="00C44F6A"/>
    <w:rsid w:val="00C47AE3"/>
    <w:rsid w:val="00C61725"/>
    <w:rsid w:val="00C70EC1"/>
    <w:rsid w:val="00CB53B1"/>
    <w:rsid w:val="00CC6991"/>
    <w:rsid w:val="00CD1FC4"/>
    <w:rsid w:val="00CD3425"/>
    <w:rsid w:val="00D21061"/>
    <w:rsid w:val="00D33D91"/>
    <w:rsid w:val="00D4108E"/>
    <w:rsid w:val="00D42943"/>
    <w:rsid w:val="00D6163D"/>
    <w:rsid w:val="00D657AD"/>
    <w:rsid w:val="00D76037"/>
    <w:rsid w:val="00D831A3"/>
    <w:rsid w:val="00D85C5B"/>
    <w:rsid w:val="00D9782E"/>
    <w:rsid w:val="00DA3BDC"/>
    <w:rsid w:val="00DB210B"/>
    <w:rsid w:val="00DC60C3"/>
    <w:rsid w:val="00DC75F3"/>
    <w:rsid w:val="00DD46F3"/>
    <w:rsid w:val="00DE56F2"/>
    <w:rsid w:val="00DF116D"/>
    <w:rsid w:val="00E017C5"/>
    <w:rsid w:val="00E410CB"/>
    <w:rsid w:val="00E55F3F"/>
    <w:rsid w:val="00E57E6E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747DD"/>
    <w:rsid w:val="00F867BB"/>
    <w:rsid w:val="00F86BA6"/>
    <w:rsid w:val="00F942F7"/>
    <w:rsid w:val="00F94AA3"/>
    <w:rsid w:val="00F969C4"/>
    <w:rsid w:val="00FA32F8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  <w15:docId w15:val="{DD03E869-3EEF-4008-8884-00F8710D7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0674DA5-3F8F-4628-ACFC-0862A95B3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1294</Words>
  <Characters>7639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8916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Engelová Petra</cp:lastModifiedBy>
  <cp:revision>5</cp:revision>
  <cp:lastPrinted>2017-11-28T17:18:00Z</cp:lastPrinted>
  <dcterms:created xsi:type="dcterms:W3CDTF">2021-12-08T08:22:00Z</dcterms:created>
  <dcterms:modified xsi:type="dcterms:W3CDTF">2021-12-09T14:19:00Z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